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7.pdf" ContentType="application/pdf"/>
  <Override PartName="/word/media/rId94.png" ContentType="image/png"/>
  <Override PartName="/word/media/rId88.png" ContentType="image/png"/>
  <Override PartName="/word/media/rId82.png" ContentType="image/png"/>
  <Override PartName="/word/media/rId85.pdf" ContentType="application/pdf"/>
  <Override PartName="/word/media/rId97.png" ContentType="image/png"/>
  <Override PartName="/word/media/rId91.png" ContentType="image/png"/>
  <Override PartName="/word/media/rId76.png" ContentType="image/png"/>
  <Override PartName="/word/media/rId79.png" ContentType="image/png"/>
  <Override PartName="/word/media/rId73.pdf" ContentType="application/pdf"/>
  <Override PartName="/word/media/rId70.pdf" ContentType="application/pdf"/>
  <Override PartName="/word/media/rId100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371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 In this model, a gene’s expression is</w:t>
      </w:r>
      <w:r>
        <w:t xml:space="preserve"> </w:t>
      </w:r>
      <w:r>
        <w:t xml:space="preserve">influenced by many variants throughout the genome through their</w:t>
      </w:r>
      <w:r>
        <w:t xml:space="preserve"> </w:t>
      </w:r>
      <w:r>
        <w:t xml:space="preserve">cumulative effects on a broader regulatory network. In other words, the</w:t>
      </w:r>
      <w:r>
        <w:t xml:space="preserve"> </w:t>
      </w:r>
      <w:r>
        <w:t xml:space="preserve">heritable component of the transcriptome is an emergent state arising</w:t>
      </w:r>
      <w:r>
        <w:t xml:space="preserve"> </w:t>
      </w:r>
      <w:r>
        <w:t xml:space="preserve">from the myriad molecular interactions defining and constraining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haplotypes,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371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insulin, glucose and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a CC-RIX population and gene expression from three of the four</w:t>
      </w:r>
      <w:r>
        <w:t xml:space="preserve"> </w:t>
      </w:r>
      <w:r>
        <w:t xml:space="preserve">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A-H). We performed eQTL analysis using 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</w:t>
      </w:r>
      <w:r>
        <w:t xml:space="preserve"> </w:t>
      </w:r>
      <w:r>
        <w:t xml:space="preserve">Significant local eQTLs far 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analytis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scores–a</w:t>
      </w:r>
      <w:r>
        <w:t xml:space="preserve"> </w:t>
      </w:r>
      <w:r>
        <w:t xml:space="preserve">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</w:t>
      </w:r>
      <w:r>
        <w:t xml:space="preserve"> </w:t>
      </w:r>
      <w:r>
        <w:t xml:space="preserve">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</w:t>
      </w:r>
      <w:r>
        <w:t xml:space="preserve"> </w:t>
      </w:r>
      <w:r>
        <w:t xml:space="preserve">univariate theory of mediation to constrain these projections to satisfy</w:t>
      </w:r>
      <w:r>
        <w:t xml:space="preserve"> </w:t>
      </w:r>
      <w:r>
        <w:t xml:space="preserve">the hypotheses of perfect mediation, namely that upon controlling for</w:t>
      </w:r>
      <w:r>
        <w:t xml:space="preserve"> </w:t>
      </w:r>
      <w:r>
        <w:t xml:space="preserve">the transcriptomic score, the genome score is uncorrelated to the</w:t>
      </w:r>
      <w:r>
        <w:t xml:space="preserve"> </w:t>
      </w:r>
      <w:r>
        <w:t xml:space="preserve">phenome score. Formally, perfect mediation implies a constraint on the</w:t>
      </w:r>
      <w:r>
        <w:t xml:space="preserve"> </w:t>
      </w:r>
      <w:r>
        <w:t xml:space="preserve">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Body</w:t>
      </w:r>
      <w:r>
        <w:t xml:space="preserve"> </w:t>
      </w:r>
      <w:r>
        <w:t xml:space="preserve">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</w:t>
      </w:r>
      <w:r>
        <w:t xml:space="preserve"> </w:t>
      </w:r>
      <w:r>
        <w:t xml:space="preserve">homeostatic insulin resistance (HOMA_IR) and fasting plasma insulin</w:t>
      </w:r>
      <w:r>
        <w:t xml:space="preserve"> </w:t>
      </w:r>
      <w:r>
        <w:t xml:space="preserve">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disease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disease index (MDI)</w:t>
      </w:r>
      <w:r>
        <w:t xml:space="preserve"> </w:t>
      </w:r>
      <w:r>
        <w:t xml:space="preserve">going forward. Traits contributing the least to the MDI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MDI, indicating that increased expression in inflammatory pathways</w:t>
      </w:r>
      <w:r>
        <w:t xml:space="preserve"> </w:t>
      </w:r>
      <w:r>
        <w:t xml:space="preserve">was associated with a higher MDI. It is well established that adipose</w:t>
      </w:r>
      <w:r>
        <w:t xml:space="preserve"> </w:t>
      </w:r>
      <w:r>
        <w:t xml:space="preserve">tissue in obese individuals is inflamed and infiltrated by 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 HFHS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 particularly in the liver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42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45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MDI.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MDI. This result also</w:t>
      </w:r>
      <w:r>
        <w:t xml:space="preserve"> </w:t>
      </w:r>
      <w:r>
        <w:t xml:space="preserve">confirms the validity and translatability of the transcript loadings and</w:t>
      </w:r>
      <w:r>
        <w:t xml:space="preserve"> </w:t>
      </w:r>
      <w:r>
        <w:t xml:space="preserve">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HFHS diet. Loading for marker genes for other cell types were not</w:t>
      </w:r>
      <w:r>
        <w:t xml:space="preserve"> </w:t>
      </w:r>
      <w:r>
        <w:t xml:space="preserve">statistically different from zero, indicating that changes in the</w:t>
      </w:r>
      <w:r>
        <w:t xml:space="preserve"> </w:t>
      </w:r>
      <w:r>
        <w:t xml:space="preserve">abundance of those cell types is not a 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MDI had inherited a higher proportions of alpha cells, and</w:t>
      </w:r>
      <w:r>
        <w:t xml:space="preserve"> </w:t>
      </w:r>
      <w:r>
        <w:t xml:space="preserve">lower proportions of endothelial and delta cells in their pancreatic</w:t>
      </w:r>
      <w:r>
        <w:t xml:space="preserve"> </w:t>
      </w:r>
      <w:r>
        <w:t xml:space="preserve">islets, that such compositional changes were induced by the HFHS diet in</w:t>
      </w:r>
      <w:r>
        <w:t xml:space="preserve"> </w:t>
      </w:r>
      <w:r>
        <w:t xml:space="preserve">a heritable way, or both. In either case, these results support the</w:t>
      </w:r>
      <w:r>
        <w:t xml:space="preserve"> </w:t>
      </w:r>
      <w:r>
        <w:t xml:space="preserve">hypothesis that alterations in islet composition drive variation in MDI.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MDI. This is further consistent with the islet</w:t>
      </w:r>
      <w:r>
        <w:t xml:space="preserve"> </w:t>
      </w:r>
      <w:r>
        <w:t xml:space="preserve">composition traits having small loadings in 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MDI identified in DO mice is relevant to obesity</w:t>
      </w:r>
      <w:r>
        <w:t xml:space="preserve"> </w:t>
      </w:r>
      <w:r>
        <w:t xml:space="preserve">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70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71,72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73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74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75,76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77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75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78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79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structure. However,</w:t>
      </w:r>
      <w:r>
        <w:t xml:space="preserve"> </w:t>
      </w:r>
      <w:r>
        <w:t xml:space="preserve">gene expression imputed from local genotype failed to predict body</w:t>
      </w:r>
      <w:r>
        <w:t xml:space="preserve"> </w:t>
      </w:r>
      <w:r>
        <w:t xml:space="preserve">weight in the second population. Taken together, these results highlight</w:t>
      </w:r>
      <w:r>
        <w:t xml:space="preserve"> </w:t>
      </w:r>
      <w:r>
        <w:t xml:space="preserve">the 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18,19,80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81–83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consistent with the recently proposed omnigenic model,</w:t>
      </w:r>
      <w:r>
        <w:t xml:space="preserve"> </w:t>
      </w:r>
      <w:r>
        <w:t xml:space="preserve">which 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84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85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80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</w:t>
      </w:r>
      <w:r>
        <w:t xml:space="preserve"> </w:t>
      </w:r>
      <w:r>
        <w:t xml:space="preserve">although distal regulation of some genes may be strong, this regulation</w:t>
      </w:r>
      <w:r>
        <w:t xml:space="preserve"> </w:t>
      </w:r>
      <w:r>
        <w:t xml:space="preserve">is likely to be highly complex and 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5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 url{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} with the</w:t>
      </w:r>
      <w:r>
        <w:t xml:space="preserve"> </w:t>
      </w:r>
      <w:r>
        <w:t xml:space="preserve">following accession numbers: DO adipose tissue - GSE266549; DO liver</w:t>
      </w:r>
      <w:r>
        <w:t xml:space="preserve"> </w:t>
      </w:r>
      <w:r>
        <w:t xml:space="preserve">tissue - GSE266569; DO skeletal muscle - GSE266567. Expression data with</w:t>
      </w:r>
      <w:r>
        <w:t xml:space="preserve"> </w:t>
      </w:r>
      <w:r>
        <w:t xml:space="preserve">calculated eQTLs are available on the Synapse</w:t>
      </w:r>
      <w:r>
        <w:t xml:space="preserve"> </w:t>
      </w:r>
      <w:hyperlink r:id="rId61">
        <w:r>
          <w:rPr>
            <w:rStyle w:val="Hyperlink"/>
          </w:rPr>
          <w:t xml:space="preserve">https://www.synapse.org/</w:t>
        </w:r>
      </w:hyperlink>
      <w:r>
        <w:t xml:space="preserve">, synIDXXX</w:t>
      </w:r>
    </w:p>
    <w:p>
      <w:pPr>
        <w:pStyle w:val="BodyText"/>
      </w:pPr>
      <w:r>
        <w:t xml:space="preserve">Genotypes: Sequence data for the DO mice used here are available from</w:t>
      </w:r>
      <w:r>
        <w:t xml:space="preserve"> </w:t>
      </w:r>
      <w:r>
        <w:t xml:space="preserve">the Sequence Read Archive</w:t>
      </w:r>
      <w:r>
        <w:t xml:space="preserve"> </w:t>
      </w:r>
      <w:hyperlink r:id="rId62">
        <w:r>
          <w:rPr>
            <w:rStyle w:val="Hyperlink"/>
          </w:rPr>
          <w:t xml:space="preserve">https://www.ncbi.nlm.nih.gov/sra/</w:t>
        </w:r>
      </w:hyperlink>
      <w:r>
        <w:t xml:space="preserve"> </w:t>
      </w:r>
      <w:r>
        <w:t xml:space="preserve">(study</w:t>
      </w:r>
      <w:r>
        <w:t xml:space="preserve"> </w:t>
      </w:r>
      <w:r>
        <w:t xml:space="preserve">number SRP125176). Genotype data for the CC mice are available from</w:t>
      </w:r>
      <w:r>
        <w:t xml:space="preserve"> </w:t>
      </w:r>
      <w:r>
        <w:t xml:space="preserve">University of North Carolina Computational Systems Biology</w:t>
      </w:r>
      <w:r>
        <w:t xml:space="preserve"> </w:t>
      </w:r>
      <w:r>
        <w:t xml:space="preserve">(</w:t>
      </w:r>
      <w:hyperlink r:id="rId63">
        <w:r>
          <w:rPr>
            <w:rStyle w:val="Hyperlink"/>
          </w:rPr>
          <w:t xml:space="preserve">http://www.csbio.unc.edu/CCstatus/CCGenomes/</w:t>
        </w:r>
      </w:hyperlink>
      <w:r>
        <w:t xml:space="preserve">).</w:t>
      </w:r>
    </w:p>
    <w:p>
      <w:pPr>
        <w:pStyle w:val="BodyText"/>
      </w:pPr>
      <w:r>
        <w:t xml:space="preserve">Gene expression: Data can be found at the Gene Expression Omnibus</w:t>
      </w:r>
      <w:r>
        <w:t xml:space="preserve"> </w:t>
      </w:r>
      <w:r>
        <w:t xml:space="preserve">url{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} 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GSE266567; CC-RIX adipose tissue -</w:t>
      </w:r>
      <w:r>
        <w:t xml:space="preserve"> </w:t>
      </w:r>
      <w:r>
        <w:t xml:space="preserve">GSE237737; CC-RIX liver tissue - GSE237743; CC-RIX skeletal muscle -</w:t>
      </w:r>
      <w:r>
        <w:t xml:space="preserve"> </w:t>
      </w:r>
      <w:r>
        <w:t xml:space="preserve">GSE237747. Quantified pancreatic islet gene expression for the DO mice,</w:t>
      </w:r>
      <w:r>
        <w:t xml:space="preserve"> </w:t>
      </w:r>
      <w:r>
        <w:t xml:space="preserve">along with their genotypes and phenotypes can be found on Dryad</w:t>
      </w:r>
      <w:r>
        <w:t xml:space="preserve"> </w:t>
      </w:r>
      <w:hyperlink r:id="rId64">
        <w:r>
          <w:rPr>
            <w:rStyle w:val="Hyperlink"/>
          </w:rPr>
          <w:t xml:space="preserve">https://datadryad.org/stash/dataset/doi:10.5061/dryad.pj105</w:t>
        </w:r>
      </w:hyperlink>
      <w:r>
        <w:t xml:space="preserve">.</w:t>
      </w:r>
    </w:p>
    <w:p>
      <w:pPr>
        <w:pStyle w:val="BodyText"/>
      </w:pPr>
      <w:r>
        <w:t xml:space="preserve">Phenotypes: Metabolic phenotypes for the DO mice along with genotypes</w:t>
      </w:r>
      <w:r>
        <w:t xml:space="preserve"> </w:t>
      </w:r>
      <w:r>
        <w:t xml:space="preserve">and quantified gene expression area available from</w:t>
      </w:r>
      <w:r>
        <w:t xml:space="preserve"> </w:t>
      </w:r>
      <w:hyperlink r:id="rId64">
        <w:r>
          <w:rPr>
            <w:rStyle w:val="Hyperlink"/>
          </w:rPr>
          <w:t xml:space="preserve">https://datadryad.org/stash/dataset/doi:10.5061/dryad.pj105</w:t>
        </w:r>
      </w:hyperlink>
    </w:p>
    <w:p>
      <w:pPr>
        <w:pStyle w:val="BodyText"/>
      </w:pPr>
      <w:r>
        <w:t xml:space="preserve">Metabolic phenotypes for the CC-RIX mice are available from XXX</w:t>
      </w:r>
    </w:p>
    <w:bookmarkEnd w:id="65"/>
    <w:bookmarkStart w:id="66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nos.: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6"/>
    <w:bookmarkStart w:id="191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1_eQTL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KEGG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enrichments_GO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OxPhos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TCA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Branched_Chain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CC-RIX_Imputation.pdf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</w:t>
      </w:r>
      <w:r>
        <w:t xml:space="preserve"> </w:t>
      </w:r>
      <w:r>
        <w:t xml:space="preserve">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</w:t>
      </w:r>
      <w:r>
        <w:t xml:space="preserve"> </w:t>
      </w:r>
      <w:r>
        <w:t xml:space="preserve">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Adipose_AS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_Fig_Islet_YAPC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90" w:name="refs"/>
    <w:bookmarkStart w:id="103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3"/>
    <w:bookmarkStart w:id="104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4"/>
    <w:bookmarkStart w:id="105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5"/>
    <w:bookmarkStart w:id="106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6"/>
    <w:bookmarkStart w:id="107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7"/>
    <w:bookmarkStart w:id="108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8"/>
    <w:bookmarkStart w:id="109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9"/>
    <w:bookmarkStart w:id="110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10"/>
    <w:bookmarkStart w:id="111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1"/>
    <w:bookmarkStart w:id="112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2"/>
    <w:bookmarkStart w:id="113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3"/>
    <w:bookmarkStart w:id="114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4"/>
    <w:bookmarkStart w:id="115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5"/>
    <w:bookmarkStart w:id="116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6"/>
    <w:bookmarkStart w:id="117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7"/>
    <w:bookmarkStart w:id="118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8"/>
    <w:bookmarkStart w:id="119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9"/>
    <w:bookmarkStart w:id="120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20"/>
    <w:bookmarkStart w:id="121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1"/>
    <w:bookmarkStart w:id="122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2"/>
    <w:bookmarkStart w:id="123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3"/>
    <w:bookmarkStart w:id="124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4"/>
    <w:bookmarkStart w:id="125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5"/>
    <w:bookmarkStart w:id="126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6"/>
    <w:bookmarkStart w:id="127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7"/>
    <w:bookmarkStart w:id="128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8"/>
    <w:bookmarkStart w:id="129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9"/>
    <w:bookmarkStart w:id="130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0"/>
    <w:bookmarkStart w:id="131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1"/>
    <w:bookmarkStart w:id="133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32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3"/>
    <w:bookmarkStart w:id="134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4"/>
    <w:bookmarkStart w:id="136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5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6"/>
    <w:bookmarkStart w:id="137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7"/>
    <w:bookmarkStart w:id="138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8"/>
    <w:bookmarkStart w:id="139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9"/>
    <w:bookmarkStart w:id="140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40"/>
    <w:bookmarkStart w:id="141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1"/>
    <w:bookmarkStart w:id="142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2"/>
    <w:bookmarkStart w:id="143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3"/>
    <w:bookmarkStart w:id="144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4"/>
    <w:bookmarkStart w:id="145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5"/>
    <w:bookmarkStart w:id="146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6"/>
    <w:bookmarkStart w:id="147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7"/>
    <w:bookmarkStart w:id="148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8"/>
    <w:bookmarkStart w:id="149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9"/>
    <w:bookmarkStart w:id="150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50"/>
    <w:bookmarkStart w:id="151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1"/>
    <w:bookmarkStart w:id="152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2"/>
    <w:bookmarkStart w:id="153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3"/>
    <w:bookmarkStart w:id="154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4"/>
    <w:bookmarkStart w:id="155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5"/>
    <w:bookmarkStart w:id="156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6"/>
    <w:bookmarkStart w:id="157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7"/>
    <w:bookmarkStart w:id="158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8"/>
    <w:bookmarkStart w:id="159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9"/>
    <w:bookmarkStart w:id="160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60"/>
    <w:bookmarkStart w:id="161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1"/>
    <w:bookmarkStart w:id="162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2"/>
    <w:bookmarkStart w:id="163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3"/>
    <w:bookmarkStart w:id="164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4"/>
    <w:bookmarkStart w:id="165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5"/>
    <w:bookmarkStart w:id="166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6"/>
    <w:bookmarkStart w:id="167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7"/>
    <w:bookmarkStart w:id="168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8"/>
    <w:bookmarkStart w:id="169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9"/>
    <w:bookmarkStart w:id="170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70"/>
    <w:bookmarkStart w:id="171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1"/>
    <w:bookmarkStart w:id="172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2"/>
    <w:bookmarkStart w:id="173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3"/>
    <w:bookmarkStart w:id="174" w:name="ref-pmid17047224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4"/>
    <w:bookmarkStart w:id="175" w:name="ref-pmid28683283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5"/>
    <w:bookmarkStart w:id="176" w:name="ref-pmid15685170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6"/>
    <w:bookmarkStart w:id="177" w:name="ref-pmid33603744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7"/>
    <w:bookmarkStart w:id="178" w:name="ref-pmid3228100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8"/>
    <w:bookmarkStart w:id="179" w:name="ref-pmid27007849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9"/>
    <w:bookmarkStart w:id="180" w:name="ref-pmid2882351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80"/>
    <w:bookmarkStart w:id="181" w:name="ref-pmid24520198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1"/>
    <w:bookmarkStart w:id="182" w:name="ref-pmid21190462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2"/>
    <w:bookmarkStart w:id="183" w:name="ref-pmid16631807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3"/>
    <w:bookmarkStart w:id="184" w:name="ref-pmid31051098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4"/>
    <w:bookmarkStart w:id="185" w:name="ref-pmid29782925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5"/>
    <w:bookmarkStart w:id="186" w:name="ref-pmid12082173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6"/>
    <w:bookmarkStart w:id="187" w:name="ref-pmid273049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7"/>
    <w:bookmarkStart w:id="188" w:name="ref-pmid2862250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8"/>
    <w:bookmarkStart w:id="189" w:name="ref-pmid2990644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9"/>
    <w:bookmarkEnd w:id="190"/>
    <w:bookmarkEnd w:id="1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7" Target="media/rId67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85" Target="media/rId85.pdf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73" Target="media/rId73.pdf" /><Relationship Type="http://schemas.openxmlformats.org/officeDocument/2006/relationships/image" Id="rId70" Target="media/rId70.pdf" /><Relationship Type="http://schemas.openxmlformats.org/officeDocument/2006/relationships/image" Id="rId100" Target="media/rId100.pdf" /><Relationship Type="http://schemas.openxmlformats.org/officeDocument/2006/relationships/hyperlink" Id="rId63" Target="http://www.csbio.unc.edu/CCstatus/CCGenomes/" TargetMode="External" /><Relationship Type="http://schemas.openxmlformats.org/officeDocument/2006/relationships/hyperlink" Id="rId13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4" Target="https://datadryad.org/stash/dataset/doi:10.5061/dryad.pj105" TargetMode="External" /><Relationship Type="http://schemas.openxmlformats.org/officeDocument/2006/relationships/hyperlink" Id="rId135" Target="https://doi.org/10.1101/060012" TargetMode="External" /><Relationship Type="http://schemas.openxmlformats.org/officeDocument/2006/relationships/hyperlink" Id="rId60" Target="https://www.ncbi.nlm.nih.gov/geo/" TargetMode="External" /><Relationship Type="http://schemas.openxmlformats.org/officeDocument/2006/relationships/hyperlink" Id="rId62" Target="https://www.ncbi.nlm.nih.gov/sra/" TargetMode="External" /><Relationship Type="http://schemas.openxmlformats.org/officeDocument/2006/relationships/hyperlink" Id="rId61" Target="https://www.synapse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3" Target="http://www.csbio.unc.edu/CCstatus/CCGenomes/" TargetMode="External" /><Relationship Type="http://schemas.openxmlformats.org/officeDocument/2006/relationships/hyperlink" Id="rId13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4" Target="https://datadryad.org/stash/dataset/doi:10.5061/dryad.pj105" TargetMode="External" /><Relationship Type="http://schemas.openxmlformats.org/officeDocument/2006/relationships/hyperlink" Id="rId135" Target="https://doi.org/10.1101/060012" TargetMode="External" /><Relationship Type="http://schemas.openxmlformats.org/officeDocument/2006/relationships/hyperlink" Id="rId60" Target="https://www.ncbi.nlm.nih.gov/geo/" TargetMode="External" /><Relationship Type="http://schemas.openxmlformats.org/officeDocument/2006/relationships/hyperlink" Id="rId62" Target="https://www.ncbi.nlm.nih.gov/sra/" TargetMode="External" /><Relationship Type="http://schemas.openxmlformats.org/officeDocument/2006/relationships/hyperlink" Id="rId61" Target="https://www.synapse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2024-09-17T19:09:28Z</dcterms:created>
  <dcterms:modified xsi:type="dcterms:W3CDTF">2024-09-17T19:09:28Z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